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E62" w:rsidRDefault="003A1B7B">
      <w:pPr>
        <w:spacing w:beforeAutospacing="1" w:afterAutospacing="1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pl-PL"/>
        </w:rPr>
        <w:t>REGULAMIN ROZGRYWEK MISTRZOWSKICH PODLASKIEGO OKRĘGOWEGO ZWIĄZKU PIŁKI SIATKOWEJ W SEZONIE 2024/25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CEL ROZGRYWEK</w:t>
      </w:r>
    </w:p>
    <w:p w:rsidR="009E2E62" w:rsidRDefault="003A1B7B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Wyłonienie mistrzów poszczególnych klas rozgrywkowych oraz zespołów, które uzyskają prawo gry w rozgrywkach centralnych.</w:t>
      </w:r>
    </w:p>
    <w:p w:rsidR="009E2E62" w:rsidRDefault="003A1B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Podniesienie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 rozgrywek mistrzowskich.</w:t>
      </w:r>
    </w:p>
    <w:p w:rsidR="009E2E62" w:rsidRDefault="003A1B7B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piłki siatkowej na terenie województwa.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NAD PRAWIDŁOWYM PRZEBIEGIEM SPOTKANIA</w:t>
      </w:r>
    </w:p>
    <w:p w:rsidR="009E2E62" w:rsidRDefault="003A1B7B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sportowy nad przebiegiem rozgrywek sprawuje POZPS poprzez Wydział Rozgrywek.</w:t>
      </w:r>
    </w:p>
    <w:p w:rsidR="009E2E62" w:rsidRDefault="003A1B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Kierownictwo meczów sprawuje POZPS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sędziów wyznaczonych przez Wydział Sędziowski, przy czym wykonywanie czynności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organizacyjnych leży w gestii klubów – gospodarzy tych spotkań.</w:t>
      </w:r>
    </w:p>
    <w:p w:rsidR="009E2E62" w:rsidRDefault="003A1B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Kluby i inne organizacje sportowe mają prawo do organizowania zawodów i uczestnictwa w meczach/t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urniejach nie organizowanych przez POZPS. </w:t>
      </w:r>
    </w:p>
    <w:p w:rsidR="009E2E62" w:rsidRDefault="003A1B7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tych zawodów nie mogą kolidować z terminami zawodów mistrzowskich,</w:t>
      </w:r>
    </w:p>
    <w:p w:rsidR="009E2E62" w:rsidRDefault="003A1B7B">
      <w:pPr>
        <w:numPr>
          <w:ilvl w:val="1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zmiany terminu zawodów nieorganizowanych przez POZPS klub musi uzyskać zgodę od WR POZPS.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PRAWO UDZIAŁU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ZAWODACH</w:t>
      </w:r>
    </w:p>
    <w:p w:rsidR="009E2E62" w:rsidRDefault="003A1B7B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Zespoły klubów zarejestrowanych w POZPS posiadający nadaną Licencje Klubową, mają prawo udziału w rozgrywkach mistrzowskich wszystkich szczebli.</w:t>
      </w:r>
    </w:p>
    <w:p w:rsidR="009E2E62" w:rsidRDefault="003A1B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rozgrywek dopuszczone będą tylko zespoły z klubów, które mają uregulowane wszelkie zobowiązania (w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finansowe) względem POZPS za poprzedni sezon.</w:t>
      </w:r>
    </w:p>
    <w:p w:rsidR="009E2E62" w:rsidRDefault="003A1B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Rozgrywki w województwie Podlaskim będą prowadzone w następujących kategoriach: </w:t>
      </w:r>
    </w:p>
    <w:p w:rsidR="009E2E62" w:rsidRDefault="003A1B7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Liga kobiet</w:t>
      </w:r>
    </w:p>
    <w:p w:rsidR="009E2E62" w:rsidRDefault="003A1B7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III Liga mężczyzn</w:t>
      </w:r>
    </w:p>
    <w:p w:rsidR="009E2E62" w:rsidRDefault="003A1B7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Mistrzostwa juniorek i juniorów – roczniki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młodsze</w:t>
      </w:r>
    </w:p>
    <w:p w:rsidR="009E2E62" w:rsidRDefault="003A1B7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Mistrzostwa kadetów i kadetek – roczniki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młodsze</w:t>
      </w:r>
    </w:p>
    <w:p w:rsidR="009E2E62" w:rsidRDefault="003A1B7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Mistrzostwa młodziczek i młodzików – roczniki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młodsze</w:t>
      </w:r>
    </w:p>
    <w:p w:rsidR="009E2E62" w:rsidRDefault="003A1B7B">
      <w:pPr>
        <w:numPr>
          <w:ilvl w:val="1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 siatkówka dziewcząt i chłopców – według odrębnego regulaminu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UCZESTNICY</w:t>
      </w:r>
    </w:p>
    <w:p w:rsidR="009E2E62" w:rsidRDefault="003A1B7B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rozgrywkach mogą uczestniczyć tylko zawodnicy/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twierdzone na druku F-O2 potwierdzony przez PZPS lub POZPS z wpisem daty ważności badań, przy braku wpis badań ważne indywidualne badania lekarskie wystawione przez lekarza uprawnionego do orzecznictwa sportowego, dokument tożsamości ze zdjęciem (legitymac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szkolna, legitymacja studencka, dowód osobisty, paszport, prawo jazdy).</w:t>
      </w:r>
    </w:p>
    <w:p w:rsidR="009E2E62" w:rsidRDefault="003A1B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 mający w składzie zawodnika ze Szkoły Mistrzostwa Sportowego PZPS w Spale lub Szczyrku i tym samym zapewnione z urzędu miejsce w danym wojewódzkim finale młodzieżowym występuje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rozgrywkach w normalnej formule, do momentu gdy odpadnie z rywalizacji – wówczas zostaje dokooptowany do składu finalistów lub sam wywalczy na boisku awans do finału.</w:t>
      </w:r>
    </w:p>
    <w:p w:rsidR="009E2E62" w:rsidRDefault="003A1B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przez kluby dwóch zespołów w jednej klasie rozgrywkowej kluby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obowiązane są podać do WR POZPS oddzielne składy dla każdego z zespołów.</w:t>
      </w:r>
    </w:p>
    <w:p w:rsidR="009E2E62" w:rsidRDefault="003A1B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zgłoszenia przez kluby dwóch zespołów do ligi seniorskiej, składy zespołów umieszczone na oddzielnych formularzach F-02 są niezmienne i nie ma możliwości rotowania składem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zespołu I do II i odwrotnie. Dwa zespoły tego samego klubu, występujące w fazie grupowej rozgrywek seniorskich w jednej grupie, rozgrywają pierwsze spotkanie między sobą.</w:t>
      </w:r>
    </w:p>
    <w:p w:rsidR="009E2E62" w:rsidRDefault="003A1B7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turnieju zespół może zgłosić dowolną liczbę zawodników/czek, którzy winni być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weryfikowani przez sędziego głównego przed zawodami. Do meczu zespół może zgłosić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max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zawodników/czek.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jednak w protokole zawodów wpisanych jest więcej niż 12 zawodników , to wśród nich musi być 2 zawodników/czek Libero.</w:t>
      </w:r>
    </w:p>
    <w:p w:rsidR="009E2E62" w:rsidRDefault="003A1B7B">
      <w:pPr>
        <w:numPr>
          <w:ilvl w:val="0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meczu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rozgrywkach WOZPS na boisku musi przebywać minimum pięciu zawodników na polskim certyfikacie/licencja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WERYFIKACJA MECZÓW I SPOSÓB PROWADZENIA ROZGRYWEK</w:t>
      </w:r>
    </w:p>
    <w:p w:rsidR="009E2E62" w:rsidRDefault="003A1B7B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Mecze we wszystkich klasach rozgrywkowych (oprócz młodzików i młodziczek) odbywają się do trzech wyg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ranych setów. Młodzicy i młodziczki do dwóch wygranych setów.</w:t>
      </w:r>
    </w:p>
    <w:p w:rsidR="009E2E62" w:rsidRDefault="003A1B7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rozgrywek poszczególnych klas rozgrywkowych uzależniony będzie każdorazowo od ilości zgłoszonych zespołów. Systemy rozgrywek będą ustalane przez WR POZPS w oparciu o propozycje Trenerów.</w:t>
      </w:r>
    </w:p>
    <w:p w:rsidR="009E2E62" w:rsidRDefault="003A1B7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punktacji: </w:t>
      </w:r>
    </w:p>
    <w:p w:rsidR="009E2E62" w:rsidRDefault="003A1B7B">
      <w:pPr>
        <w:numPr>
          <w:ilvl w:val="1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rozgrywkach POZPS rozgrywanych systemem meczowym (III Liga, juniorki, juniorzy, kadetki, kadeci) poza systemem pucharowym, obowiązuje następująca punktacja: </w:t>
      </w:r>
    </w:p>
    <w:tbl>
      <w:tblPr>
        <w:tblW w:w="4500" w:type="pct"/>
        <w:jc w:val="center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2760"/>
        <w:gridCol w:w="2656"/>
        <w:gridCol w:w="2788"/>
      </w:tblGrid>
      <w:tr w:rsidR="009E2E62">
        <w:trPr>
          <w:jc w:val="center"/>
        </w:trPr>
        <w:tc>
          <w:tcPr>
            <w:tcW w:w="2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ZWYCIĘZCA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PRZEGRANY</w:t>
            </w:r>
          </w:p>
        </w:tc>
      </w:tr>
      <w:tr w:rsidR="009E2E62">
        <w:trPr>
          <w:jc w:val="center"/>
        </w:trPr>
        <w:tc>
          <w:tcPr>
            <w:tcW w:w="2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PUNKTY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: 0 LUB 3 : 1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PUNKTÓW</w:t>
            </w:r>
          </w:p>
        </w:tc>
      </w:tr>
      <w:tr w:rsidR="009E2E62">
        <w:trPr>
          <w:jc w:val="center"/>
        </w:trPr>
        <w:tc>
          <w:tcPr>
            <w:tcW w:w="2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26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: 2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PUNKT</w:t>
            </w:r>
          </w:p>
        </w:tc>
      </w:tr>
    </w:tbl>
    <w:p w:rsidR="009E2E62" w:rsidRDefault="003A1B7B">
      <w:pPr>
        <w:numPr>
          <w:ilvl w:val="1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rozgrywkach młodzieżowych rozgrywanych systemem turniejowym oraz w pojedynczych meczach: młodziczek i młodzików obowiązuje punktacja: 2-1-0. Za każde wygrane spotkanie zwycięzca otrzymuje 2 pkt, za przegrane 1 pkt, za niestawienie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ię na zawody względnie przyznany walkower 0 pkt.</w:t>
      </w:r>
    </w:p>
    <w:p w:rsidR="009E2E62" w:rsidRDefault="003A1B7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rozgrywania dwumeczu o zwycięstwie decyduje kolejno: </w:t>
      </w:r>
    </w:p>
    <w:p w:rsidR="009E2E62" w:rsidRDefault="003A1B7B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zdobytych punktów</w:t>
      </w:r>
    </w:p>
    <w:p w:rsidR="009E2E62" w:rsidRDefault="003A1B7B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większy stosunek setów</w:t>
      </w:r>
    </w:p>
    <w:p w:rsidR="009E2E62" w:rsidRDefault="003A1B7B">
      <w:pPr>
        <w:numPr>
          <w:ilvl w:val="2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większy stosunek małych punktów</w:t>
      </w:r>
    </w:p>
    <w:p w:rsidR="009E2E62" w:rsidRDefault="003A1B7B">
      <w:pPr>
        <w:spacing w:beforeAutospacing="1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zdobyte punkty, stosunek setów i „małych” punktów obu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zespołów są jednakowe to rozgrywany jest tzw. „złoty set”. „Złoty set” rozgrywany jest do 30 minut po zakończeniu drugiego spotkania, na tym samym boisku, na zasadach obowiązujących w secie decydującym (piąty set). Dokumentację tego seta należy stworzyć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osobnym protokole meczowym z adnotacją, że dotyczy on tylko „złotego seta”.</w:t>
      </w:r>
    </w:p>
    <w:p w:rsidR="009E2E62" w:rsidRDefault="003A1B7B">
      <w:pPr>
        <w:numPr>
          <w:ilvl w:val="0"/>
          <w:numId w:val="5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kolejności miejsc w tabeli decydują: </w:t>
      </w:r>
    </w:p>
    <w:p w:rsidR="009E2E62" w:rsidRDefault="003A1B7B">
      <w:pPr>
        <w:numPr>
          <w:ilvl w:val="1"/>
          <w:numId w:val="18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zdobytych punktów</w:t>
      </w:r>
    </w:p>
    <w:p w:rsidR="009E2E62" w:rsidRDefault="003A1B7B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wygranych spotkań</w:t>
      </w:r>
    </w:p>
    <w:p w:rsidR="009E2E62" w:rsidRDefault="003A1B7B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lepszy stosunek setów /większa liczba uzyskana po podzieleniu setów wygranych przez sety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zegrane/</w:t>
      </w:r>
    </w:p>
    <w:p w:rsidR="009E2E62" w:rsidRDefault="003A1B7B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lepszy stosunek małych punktów /większa liczba uzyskana po podzieleniu punktów zdobytych przez punkty stracone/</w:t>
      </w:r>
    </w:p>
    <w:p w:rsidR="009E2E62" w:rsidRDefault="003A1B7B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dwie lub więcej drużyn mają jednakową ilość punktów, stosunek setów i małych punktów, o kolejności w tabeli decyduje stosunek 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nktów, stosunek setów i małych punktów zdobytych w bezpośrednich spotkaniach pomiędzy zainteresowanymi zespołami.</w:t>
      </w:r>
    </w:p>
    <w:p w:rsidR="009E2E62" w:rsidRDefault="003A1B7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uczestnictwa w rozgrywkach na szczeblu centralnym uzyskują zespoły: </w:t>
      </w:r>
    </w:p>
    <w:p w:rsidR="009E2E62" w:rsidRDefault="003A1B7B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rozgrywkach młodzieżowych zgodnie z obowiązującym Regulaminem Roz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grywek Młodzieżowych PZPS na dany sezon rozgrywkowy.</w:t>
      </w:r>
    </w:p>
    <w:p w:rsidR="009E2E62" w:rsidRDefault="003A1B7B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III Ligi miejsc jeden dwa</w:t>
      </w:r>
    </w:p>
    <w:p w:rsidR="009E2E62" w:rsidRDefault="003A1B7B">
      <w:pPr>
        <w:numPr>
          <w:ilvl w:val="1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możliwości uczestnictwa lub rezygnacji któregoś z klubów z uczestniczenia w rozgrywkach centralnych, jego miejsce zajmuje zespół, który zajął w rozgrywkach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trzecie lub kolejne miejsce (dotyczy. rozgrywek seniorskich – III Liga). W przypadku rozgrywek młodzieżowych zgodnie z obowiązującym Regulaminem Rozgrywek Młodzieżowych PZPS na dany sezon rozgrywkowy (kolejny zespół z miejsca czwartego ,piątego i następuje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przesunięcie do góry).</w:t>
      </w:r>
    </w:p>
    <w:p w:rsidR="009E2E62" w:rsidRDefault="003A1B7B">
      <w:pPr>
        <w:numPr>
          <w:ilvl w:val="1"/>
          <w:numId w:val="27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potwierdzenia rezygnacji zespołu z dalszych rozgrywek (dotyczy rozgrywek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ćwiećfinałów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MP w piłce plażowej i halowej) zespół zostanie wycofany z następnego sezonu rozgrywkowego.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WERYFIKACJA SPOTKAŃ</w:t>
      </w:r>
    </w:p>
    <w:p w:rsidR="009E2E62" w:rsidRDefault="003A1B7B">
      <w:pPr>
        <w:numPr>
          <w:ilvl w:val="0"/>
          <w:numId w:val="7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 POZPS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weryfikację meczów w trakcie sezonu .</w:t>
      </w:r>
    </w:p>
    <w:p w:rsidR="009E2E62" w:rsidRDefault="003A1B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Gospodarz zawodów zobowiązany jest do powiadomienia Administratora strony pozps.bialystok.pl o wyniku zakończonego spotkania w terminie 1 godziny od zakończenia spotkania (decyduje godzina zakończenia wpis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 w protokół meczowy) telefonicznie na nr 600 324 042. Protokół meczowy z danego spotkania należy nadać pocztą na adres Wydziału Gier i Dyscypliny w terminie do 2 dni od zakończenia spotkania – zgodnie z komunikatem organizacyjnym.</w:t>
      </w:r>
    </w:p>
    <w:p w:rsidR="009E2E62" w:rsidRDefault="003A1B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 POZPS weryfikuje 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 zgodnie z wynikami uzyskanymi na boisku, poza przypadkami: </w:t>
      </w:r>
    </w:p>
    <w:p w:rsidR="009E2E62" w:rsidRDefault="003A1B7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drużyna posiada mniej niż 6 zawodników na zawodach,</w:t>
      </w:r>
    </w:p>
    <w:p w:rsidR="009E2E62" w:rsidRDefault="003A1B7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drużyna schodzi z boiska lub zostaje zdekompletowana,</w:t>
      </w:r>
    </w:p>
    <w:p w:rsidR="009E2E62" w:rsidRDefault="003A1B7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bierze udział nieuprawniony zawodnik,</w:t>
      </w:r>
    </w:p>
    <w:p w:rsidR="009E2E62" w:rsidRDefault="003A1B7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doszło do poważnych uchybień proceduralnych,</w:t>
      </w:r>
    </w:p>
    <w:p w:rsidR="009E2E62" w:rsidRDefault="003A1B7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rzypadku uznania złożonego protestu.</w:t>
      </w:r>
    </w:p>
    <w:p w:rsidR="009E2E62" w:rsidRDefault="003A1B7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Drużyna w jednym sezonie rozgrywek może oddać walkowerem tylko dwa mecze. Kolejny walkower będzie traktowany jako wycofanie się drużyny z rozgrywek w trakcie ich trwania. Każdorazowe oddanie meczu walkowerem będzie skut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kowało nałożeniem kary finansowej określonej w Komunikacie Organizacyjnym POZPS.</w:t>
      </w:r>
    </w:p>
    <w:p w:rsidR="009E2E62" w:rsidRDefault="003A1B7B">
      <w:pPr>
        <w:numPr>
          <w:ilvl w:val="0"/>
          <w:numId w:val="7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Walkower w dwóch ostatnich kolejkach skutkuje automatyczną dyskwalifikacją z rozgrywek w danym sezonie rozgrywkowym.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ZMIANY TERMINÓW ZAWODÓW</w:t>
      </w:r>
    </w:p>
    <w:p w:rsidR="009E2E62" w:rsidRDefault="003A1B7B">
      <w:pPr>
        <w:numPr>
          <w:ilvl w:val="0"/>
          <w:numId w:val="8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rozegrania meczu ustalo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 zgodnie z terminarzem i może być zmieniony przy zachowaniu warunków określonych w niniejszym paragrafie. Przełożenie terminu może nastąpić wyłącznie za zgodą Wydziału Rozgrywek POZPS.</w:t>
      </w:r>
    </w:p>
    <w:p w:rsidR="009E2E62" w:rsidRDefault="003A1B7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przełożenie terminu jest składany przez Klub do Wydziału 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zgrywek w formie pisemnej. Za formę pisemną uznaję się:</w:t>
      </w:r>
    </w:p>
    <w:p w:rsidR="009E2E62" w:rsidRDefault="003A1B7B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fax z pieczątką i podpisem oraz podpisem i pieczątką klubu wyrażającego zgodę na przełożenie,</w:t>
      </w:r>
    </w:p>
    <w:p w:rsidR="009E2E62" w:rsidRDefault="003A1B7B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zeskanowany wniosek przesłany mailem z pieczątkami i podpisami wnioskującego klubu jak i podpisami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pieczątką klubu wyrażającego zgodę na przełożenie,</w:t>
      </w:r>
    </w:p>
    <w:p w:rsidR="009E2E62" w:rsidRDefault="003A1B7B">
      <w:pPr>
        <w:numPr>
          <w:ilvl w:val="1"/>
          <w:numId w:val="8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przesłany pocztą – decyduje data wpływu do biura POZPS, z podpisami i pieczątkami obu stron wniosku.</w:t>
      </w:r>
    </w:p>
    <w:p w:rsidR="009E2E62" w:rsidRDefault="003A1B7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kolejnego wniosku o przełożenie terminu, w danej klasie rozgrywkowej, do wniosku mus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być dołączone potwierdzenie dokonania opłaty regulaminowej.</w:t>
      </w:r>
    </w:p>
    <w:p w:rsidR="009E2E62" w:rsidRDefault="003A1B7B">
      <w:pPr>
        <w:numPr>
          <w:ilvl w:val="0"/>
          <w:numId w:val="9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musi być złożony: </w:t>
      </w:r>
    </w:p>
    <w:p w:rsidR="009E2E62" w:rsidRDefault="003A1B7B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rozgrywek odbywających się w sobotę lub niedzielę, najpóźniej do wtorku do godziny 16.00 poprzedzającej dany termin.</w:t>
      </w:r>
    </w:p>
    <w:p w:rsidR="009E2E62" w:rsidRDefault="003A1B7B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rozgrywek odbywających się w dni powszedni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co najmniej siedem dni przed spotkaniem do godz. 12:00.</w:t>
      </w:r>
    </w:p>
    <w:p w:rsidR="009E2E62" w:rsidRDefault="003A1B7B">
      <w:pPr>
        <w:numPr>
          <w:ilvl w:val="0"/>
          <w:numId w:val="9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musi zawierać: </w:t>
      </w:r>
    </w:p>
    <w:p w:rsidR="009E2E62" w:rsidRDefault="003A1B7B">
      <w:pPr>
        <w:numPr>
          <w:ilvl w:val="1"/>
          <w:numId w:val="28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(</w:t>
      </w:r>
      <w:r>
        <w:rPr>
          <w:rFonts w:ascii="Courier New" w:eastAsia="Times New Roman" w:hAnsi="Courier New" w:cs="Courier New"/>
          <w:sz w:val="20"/>
          <w:lang w:eastAsia="pl-PL"/>
        </w:rPr>
        <w:t>wszelkie zwolnienia lekarskie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E2E62" w:rsidRDefault="003A1B7B">
      <w:pPr>
        <w:numPr>
          <w:ilvl w:val="1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propozycję nowego terminu rozegrania meczu (nie później niż do zakończenia danego etapu rozgrywek, przy czym przełożone mecze I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undy muszą być rozegrane do zakończenia tej rundy, zaś przełożone mecze II rundy muszą zostać rozegrane przed terminem dwóch ostatnich kolejek),</w:t>
      </w:r>
    </w:p>
    <w:p w:rsidR="009E2E62" w:rsidRDefault="003A1B7B">
      <w:pPr>
        <w:numPr>
          <w:ilvl w:val="1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drugiego zespołu na przełożenie meczu i rozegranie go w proponowanym terminie.</w:t>
      </w:r>
    </w:p>
    <w:p w:rsidR="009E2E62" w:rsidRDefault="003A1B7B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zawodów turnie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jowych gdy jedna z drużyn nie wyraża zgody na nowy termin, ustalony w terminarzu termin jest ostateczny.</w:t>
      </w:r>
    </w:p>
    <w:p w:rsidR="009E2E62" w:rsidRDefault="003A1B7B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sezonie klub ma prawo do nieodpłatnej zmiany jednego terminu, w każdej klasie rozgrywkowej. Każda kolejna zmiana terminu podlega opłacie zgodn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z kwotą ustaloną w Komunikacie Organizacyjnym POZPS.</w:t>
      </w:r>
    </w:p>
    <w:p w:rsidR="009E2E62" w:rsidRDefault="003A1B7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 wypadku drogowego lub awarii pojazdu w drodze na mecz/turniej, podstawą uznania meczu za nieodbyty z powodów losowych i wyznaczenia nowego terminu spotkania będzie przedstawienie protokołu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policyjnego (w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wypadków) lub zaświadczenia pomocy drogowej (w przypadku awarii pojazdu). W przypadku zaistnienia w/w sytuacji klub zobowiązany jest do niezwłocznego powiadomienia organizatora meczu. Jednocześnie klub zobowiązany jest powiadomić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48 godzin od zajścia biuro POZPS pisemnie (fax, email) o wszystkich okolicznościach zaistniałej sytuacji. Brak stosownych dokumentów spowoduje wydanie decyzji zgodnie z Komunikatem Organizacyjnym.</w:t>
      </w:r>
    </w:p>
    <w:p w:rsidR="009E2E62" w:rsidRDefault="003A1B7B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dokonania opłaty za przełożenie spotka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należy dołączyć do składanego wniosku z prośbą o przełożenie. Wnioski nie zawierające potwierdzenia uregulowania opłaty nie będą rozpatrywane.</w:t>
      </w:r>
    </w:p>
    <w:p w:rsidR="009E2E62" w:rsidRDefault="003A1B7B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meczów dwóch ostatnich kolejek rundy zasadniczej nie podlegają zmianom.</w:t>
      </w:r>
    </w:p>
    <w:p w:rsidR="009E2E62" w:rsidRDefault="003A1B7B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Turnieje finałowe Mistrzostw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umieszczone w kalendarzu imprez, 30 dni po ich ogłoszeniu (brak przeciwwskazań co do terminu) uzyskują status terminów stałych i nie ulegają zmianie. Termin turnieju finałowego, w którym w minimum jednej z drużyn uczestniczy zawodnik/czka z SMS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terminem ustalonym przez PZPS i nie jest możliwy do przełożenia.</w:t>
      </w:r>
    </w:p>
    <w:p w:rsidR="009E2E62" w:rsidRDefault="003A1B7B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zgody WR POZPS na zmianę terminu, WR powiadomi zainteresowane kluby o zaistniałej sytuacji mailowo lub telefonicznie. W przypadku braku decyzji Wydziału Rozgrywek POZP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 o przełożeniu meczu i nie przystąpienia do spotkania przez wnioskujący klub zgodnie z terminarzem, Wydział Rozgrywek zweryfikuje spotkanie jako walkower dla przeciwnika zespołu wnioskującego. W przypadku nie przystąpienia przez gospodarza do spotkania zg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odnie z terminarzem i braku wniosku o przełożenie spotkania, Wydział Rozgrywek zweryfikuje spotkanie jako walkower dla zespołu gości.</w:t>
      </w:r>
    </w:p>
    <w:p w:rsidR="009E2E62" w:rsidRDefault="003A1B7B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Rozgrywek POZPS zastrzega sobie prawo do zmiany terminu rozegrania meczu z urzędu, w szczególności bez uzyskania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zgody zainteresowanych stron, np. z uwagi na kolizje terminów związanych z meczami Reprezentacji Wojewódzkich biorących udział w OOM, występ zainteresowanego zespołu w rozgrywkach na szczeblu centralnym PZPS. Możliwe jest również odwołanie spotkania z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 losowych np. warunki atmosferyczne – procedura postępowania w takiej sytuacji zostanie zaprezentowana klubom w osobnym komunikatach</w:t>
      </w:r>
    </w:p>
    <w:p w:rsidR="009E2E62" w:rsidRDefault="003A1B7B">
      <w:pPr>
        <w:numPr>
          <w:ilvl w:val="0"/>
          <w:numId w:val="39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 który przełożył spotkanie na termin w dni robocze nie może odbyć się wcześniej niż godzina 17.00 za zgodą wydziału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drużyny przeciwnika 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OBOWIĄZKI GOSPODARZA / ORGANIZATORA</w:t>
      </w:r>
    </w:p>
    <w:p w:rsidR="009E2E62" w:rsidRDefault="003A1B7B">
      <w:pPr>
        <w:numPr>
          <w:ilvl w:val="0"/>
          <w:numId w:val="1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Powiadomienie WR POZPS, przeciwnika, oraz wyznaczonych sędziów o miejscu i godzinie rozgrywania meczów/turnieju musi nastąpić </w:t>
      </w:r>
    </w:p>
    <w:p w:rsidR="009E2E62" w:rsidRDefault="003A1B7B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rozgrywek odbywających się w sobotę lub niedzielę najpóźniej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wtorku do godziny 20.00.</w:t>
      </w:r>
    </w:p>
    <w:p w:rsidR="009E2E62" w:rsidRDefault="003A1B7B">
      <w:pPr>
        <w:numPr>
          <w:ilvl w:val="1"/>
          <w:numId w:val="1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rozgrywek odbywających się w dni powszednie najpóźniej do godz. 20:00 na siedem dni przed terminem spotkania.</w:t>
      </w:r>
    </w:p>
    <w:p w:rsidR="009E2E62" w:rsidRDefault="003A1B7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wymagań z tego punktu skutkuje nałożeniem na gospodarza sankcji zgodnie z Komunikatem Organizacyjnym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2E62" w:rsidRDefault="003A1B7B">
      <w:pPr>
        <w:numPr>
          <w:ilvl w:val="0"/>
          <w:numId w:val="1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obiektu do przeprowadzenia zawodów musi być zgodnie z „Warunki gry i wyposażenia obiektu sportowego”</w:t>
      </w:r>
    </w:p>
    <w:p w:rsidR="009E2E62" w:rsidRDefault="003A1B7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i ochrony mienia.</w:t>
      </w:r>
    </w:p>
    <w:p w:rsidR="009E2E62" w:rsidRDefault="003A1B7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Zabezpieczenie opieki medycznej na zawodach min.30 minut przed planowaną godziną rozpoczęcia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eczu/zawodów do momentu podpisania protokołu po zawodach przez opiekę medyczną(podpisanie protokołu następuje po złożeniu podpisów na nim przez obsadę sędziowską). Potwierdzenie udziału w zawodach należy udokumentować poprzez złożenie w protokole zawodów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ieczątki lekarza, ratownika medycznego, pielęgniarki, ratownika KPP  – na pieczątce musi znajdować się nr uprawnień danej osoby zezwalający na udzielenie pierwszej pomocy medycznej oraz złożenie własnoręcznego podpisu z opisem kontuzji, urazu lub stwierdze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niem, że nie było kontuzji i urazów.</w:t>
      </w:r>
    </w:p>
    <w:p w:rsidR="009E2E62" w:rsidRDefault="003A1B7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razie braku opieki medycznej gospodarz ponosi odpowiedzialność za zaistniałe zdarzenia , a sędzia umieszcza stosowny komunikat w protokole .</w:t>
      </w:r>
    </w:p>
    <w:p w:rsidR="009E2E62" w:rsidRDefault="003A1B7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możliwości zakwaterowania i wyżywienia dla wszystkich uczestn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ików zawodów, w tym sędziów.</w:t>
      </w:r>
    </w:p>
    <w:p w:rsidR="009E2E62" w:rsidRDefault="003A1B7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wszystkich rozgrywek prowadzonych przez WR POZPS muszą odbywać się wyłącznie na salach zweryfikowanych i dopuszczonych do rozgrywek.</w:t>
      </w:r>
    </w:p>
    <w:p w:rsidR="009E2E62" w:rsidRDefault="003A1B7B">
      <w:pPr>
        <w:numPr>
          <w:ilvl w:val="0"/>
          <w:numId w:val="1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napojów w postaci wody mineralnej uczestnikom w czasie meczu/turnieju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(minimum 2 zgrzewki butelek 1L na mecz dla każdego zespołu).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OBOWIĄZKI DRUŻYN I SĘDZIÓW</w:t>
      </w:r>
    </w:p>
    <w:p w:rsidR="009E2E62" w:rsidRDefault="003A1B7B">
      <w:pPr>
        <w:numPr>
          <w:ilvl w:val="0"/>
          <w:numId w:val="1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Terminowe stawienie się na zawody.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jednolitych strojów zawodników/czek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libero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mieć koszulkę kontrastującą z koszulkami pozostałych zawodników/czek)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obowiązujących dokumentów: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Ważnych indywidualnych badań lekarskich poświadczonych przez lekarza uprawnionego do orzecznictwa sportowego – w „Książeczkach Sportowo – Lekarskich Zawodnika” – okres ważności badań maks. do 6 miesięcy;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głoszeniowych F-02 na dany sezon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DANEJ KATEGORII WIEKOWEJ z wpisaną datą ważności badań lekarskich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potwierdzonych przez WR POZPS;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elektronicznego systemu ewidencji zawodników PZPS zawierający informację o badaniach lekarskich. - Obowiązkowo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tożsamości zawodników/czek; udostępnienie dokumentów do weryfikacji na żądanie obsady sędziowskie.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Sportowe zachowanie się ekipy przed, w czasie i po meczu.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Podporządkowanie się decyzjom komisji sędziowskiej.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Dopuszczenia do meczu/turnieju doko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nuje sędzia główny (lub sędzia I) na podstawie wymaganych przez WR POZPS dokumentów. Weryfikacja musi być rozpoczęta na 45 minut przed rozpoczęciem zawodów.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14 dni roboczych przed rozpoczęciem rozgrywek klub ma obowiązek złożenia kompletnego elektronicz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 wydruku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 główny zawodów ma obowiązek pojawić się w hali, w której rozgrywane są zawody minimum 60 minut przed planowaną godziną rozpoczęcia spotkania.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 będący gospodarzem spotkania zobowiązany jest udostępnić halę sportową z pomieszczeniami towarzyszącymi (szatnie, natryski, miejsce do pracy dla sędziów) na minimum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minut przed planowanym rozpoczęciem zawodów.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Obsada sędziowska powinna pojawić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hali w, której rozgrywane są zawody minimum 60 minut przed planowaną godziną rozpoczęcia spotkania.</w:t>
      </w:r>
    </w:p>
    <w:p w:rsidR="009E2E62" w:rsidRDefault="003A1B7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obowiązków sędziego głównego(w przypadku nie występowania w obsadzie sędziego głównego jego obowiązki wypełnia pierwszy sędzia) należy: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obsady sędziowskiej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przebiegiem zawodów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weryfikacją przedstawionych przez klub dokumentów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dokumentacji z zawodów/turnieju i przekazanie ich gospodarzowi zawodów/turnieju celem przesłania do siedziby POZPS w 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ałymstoku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do WR POZPS wyniku zawodów bezpośrednio po zakończeniu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SMS,email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E2E62" w:rsidRDefault="003A1B7B">
      <w:pPr>
        <w:numPr>
          <w:ilvl w:val="1"/>
          <w:numId w:val="1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innych wytycznych przekazanych przez Wydział Sędziowski</w:t>
      </w:r>
    </w:p>
    <w:p w:rsidR="009E2E62" w:rsidRDefault="003A1B7B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E2E62" w:rsidRDefault="003A1B7B">
      <w:pPr>
        <w:numPr>
          <w:ilvl w:val="0"/>
          <w:numId w:val="1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obsady sędziowskiej należy: 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dokumentów przedstawionych przez kluby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dbanie o prawidłowy przebieg spotkania/zawodów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sędziowanie spotkania/zawodów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meczowego ze spotkania/zawodów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wystawienie rachunku Nominacji Sędziowskich celem rozliczenia ekwiwalentu sędziowskiego ( rozliczenie następuje przed rozpocz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ęciem spotkania/turnieju). W przypadku braku wypłaty, sędziowie mają prawo odmówić przystąpienia do prowadzenia zawodów, a wynik spotkania będzie zweryfikowany przez WR POZPS.</w:t>
      </w:r>
    </w:p>
    <w:p w:rsidR="009E2E62" w:rsidRDefault="003A1B7B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jednej z ekip zgłoszonej(do momentu zakończenia spotkani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sędziemu pierwszemu obsada sędziowska ma obowiązek zweryfikować osoby występujące w spotkaniu na podstawie dokumentów tożsamości. Odmowa poddania się weryfikacji w oparciu o dokumenty tożsamości skutkować będzie weryfikacją spotkania jako walkower na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rzyść drużyny przeciwnej.</w:t>
      </w:r>
    </w:p>
    <w:p w:rsidR="009E2E62" w:rsidRDefault="003A1B7B">
      <w:pPr>
        <w:numPr>
          <w:ilvl w:val="1"/>
          <w:numId w:val="1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innych wytycznych przekazanych przez Wydział Sędziowski</w:t>
      </w:r>
    </w:p>
    <w:p w:rsidR="009E2E62" w:rsidRDefault="003A1B7B">
      <w:pPr>
        <w:numPr>
          <w:ilvl w:val="1"/>
          <w:numId w:val="1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informacji o wyniku spotkania (sms, email,  do WR POZPS) bezpośrednio po zakończonym spotkaniu .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PROTESTY</w:t>
      </w:r>
    </w:p>
    <w:p w:rsidR="009E2E62" w:rsidRDefault="003A1B7B">
      <w:pPr>
        <w:numPr>
          <w:ilvl w:val="0"/>
          <w:numId w:val="1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Tryb i sposób składania protestów jest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kreślony w Przepisach Dyscyplinarnych.</w:t>
      </w:r>
    </w:p>
    <w:p w:rsidR="009E2E62" w:rsidRDefault="003A1B7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protestu jest możliwe po opłaceniu kaucji określonej w Komunikacie Organizacyjnym</w:t>
      </w:r>
    </w:p>
    <w:p w:rsidR="009E2E62" w:rsidRDefault="003A1B7B">
      <w:pPr>
        <w:numPr>
          <w:ilvl w:val="0"/>
          <w:numId w:val="1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odrzucenia protestu wpłacona kaucja nie zostaje zwrócona.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DNI I GODZINY ROZGRYWANIA MECZÓW I TURNIEJÓW</w:t>
      </w:r>
    </w:p>
    <w:tbl>
      <w:tblPr>
        <w:tblW w:w="5000" w:type="pct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firstRow="1" w:lastRow="0" w:firstColumn="1" w:lastColumn="0" w:noHBand="0" w:noVBand="1"/>
      </w:tblPr>
      <w:tblGrid>
        <w:gridCol w:w="4837"/>
        <w:gridCol w:w="1216"/>
        <w:gridCol w:w="3063"/>
      </w:tblGrid>
      <w:tr w:rsidR="009E2E62">
        <w:tc>
          <w:tcPr>
            <w:tcW w:w="4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&gt; Seni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 / Seniorka sobota/niedziela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Junior / Juniorka niedziela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9.00 – 19.00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– 17.00</w:t>
            </w:r>
          </w:p>
        </w:tc>
      </w:tr>
      <w:tr w:rsidR="009E2E62">
        <w:tc>
          <w:tcPr>
            <w:tcW w:w="4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&gt; Kadet / Kadetka sobota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–  17.00</w:t>
            </w:r>
          </w:p>
        </w:tc>
      </w:tr>
      <w:tr w:rsidR="009E2E62">
        <w:tc>
          <w:tcPr>
            <w:tcW w:w="4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&gt; Młodzik / Młodziczka niedziela</w:t>
            </w:r>
          </w:p>
        </w:tc>
        <w:tc>
          <w:tcPr>
            <w:tcW w:w="1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E2E62" w:rsidRDefault="003A1B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godz. 9.00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–  13.30</w:t>
            </w:r>
          </w:p>
        </w:tc>
      </w:tr>
    </w:tbl>
    <w:p w:rsidR="009E2E62" w:rsidRDefault="003A1B7B">
      <w:pPr>
        <w:numPr>
          <w:ilvl w:val="0"/>
          <w:numId w:val="1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godziny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rozpoczęcia meczów i turniejów muszą być uzgodnione pomiędzy zainteresowanymi zespołami i zaakceptowane przez WR POZPS. Klub wnioskujący o zmianę zobowiązany jest również powiadomić o niej Przedstawiciela Komisji Obsad Wydziału Sędziowskiego</w:t>
      </w:r>
    </w:p>
    <w:p w:rsidR="009E2E62" w:rsidRDefault="003A1B7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Kluby zobowiąz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ane są do powiadomienia zainteresowanych stron o terminie i godzinie rozgrywania zawodów zgodnie 7 dni przed planowanym meczem</w:t>
      </w:r>
    </w:p>
    <w:p w:rsidR="009E2E62" w:rsidRDefault="003A1B7B">
      <w:pPr>
        <w:numPr>
          <w:ilvl w:val="0"/>
          <w:numId w:val="1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kluby, które nie będą wywiązywały się z w/wym. obowiązków, WR POZPS będzie nakładał opłaty regulaminowe zgodnie z Komunikatem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Organizacyjnym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SANKCJE</w:t>
      </w:r>
    </w:p>
    <w:p w:rsidR="009E2E62" w:rsidRDefault="003A1B7B">
      <w:pPr>
        <w:numPr>
          <w:ilvl w:val="0"/>
          <w:numId w:val="1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opłaty regulaminowe ujęte są w Komunikacie Organizacyjnym POZPS Nr 1 i 2.</w:t>
      </w:r>
    </w:p>
    <w:p w:rsidR="009E2E62" w:rsidRDefault="003A1B7B">
      <w:pPr>
        <w:numPr>
          <w:ilvl w:val="0"/>
          <w:numId w:val="1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występowania zaległości w opłatach, WR POZPS może odmówić przyjęcia zgłoszenia zainteresowanego klubu na kolejny sezon rozgrywkowy.</w:t>
      </w:r>
    </w:p>
    <w:p w:rsidR="009E2E62" w:rsidRDefault="003A1B7B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PRZEPISY KOŃCOWE</w:t>
      </w:r>
    </w:p>
    <w:p w:rsidR="009E2E62" w:rsidRDefault="003A1B7B">
      <w:pPr>
        <w:numPr>
          <w:ilvl w:val="0"/>
          <w:numId w:val="16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rozgrywkach wszystkich klas rozgrywkowych prowadzonych przez WR POZPS obowiązują: </w:t>
      </w:r>
    </w:p>
    <w:p w:rsidR="009E2E62" w:rsidRDefault="003A1B7B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Gry w Piłkę Siatkową PZPS na 2024/25</w:t>
      </w:r>
    </w:p>
    <w:p w:rsidR="009E2E62" w:rsidRDefault="003A1B7B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Sportowo – Organizacyjne POZPS / PZPS na sezon 2024/25</w:t>
      </w:r>
    </w:p>
    <w:p w:rsidR="009E2E62" w:rsidRDefault="003A1B7B">
      <w:pPr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 Organizacyjne POZPS na sezon 2024/25</w:t>
      </w:r>
      <w:bookmarkStart w:id="0" w:name="_GoBack"/>
      <w:bookmarkEnd w:id="0"/>
    </w:p>
    <w:p w:rsidR="009E2E62" w:rsidRDefault="003A1B7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sankcje nałożone przez Od decyzji WR oraz WD przysługuje prawo odwołania się do Zarządu POZPS w terminie 7 dni od otrzymania decyzji.</w:t>
      </w:r>
    </w:p>
    <w:p w:rsidR="009E2E62" w:rsidRDefault="003A1B7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początek sezonu ligowego uznawana jest data oficjalnego ogłoszenia terminarzy rozgrywek, a sezon koń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się każdorazowo w dniu 31 maja.</w:t>
      </w:r>
    </w:p>
    <w:p w:rsidR="009E2E62" w:rsidRDefault="003A1B7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inne sprawy związane z przebiegiem rozgrywek nie objęte niniejszym regulaminem rozstrzyga WR POZPS.</w:t>
      </w:r>
    </w:p>
    <w:p w:rsidR="009E2E62" w:rsidRDefault="003A1B7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obowiązuje w rozgrywkach piłki siatkowej halowej.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Rozgrywki w piłce siatkowej plażowej prow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adzone będą według odrębnego regulaminu opracowanego przez Wydział Siatkówki Plażowej.</w:t>
      </w:r>
    </w:p>
    <w:p w:rsidR="009E2E62" w:rsidRDefault="003A1B7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interpretacji niniejszego regulaminu przysługuje WR POZPS.</w:t>
      </w:r>
    </w:p>
    <w:p w:rsidR="009E2E62" w:rsidRDefault="003A1B7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niniejszy wchodzi w życie z dniem ogłoszenia i anuluje poprzednie regulaminy.</w:t>
      </w:r>
    </w:p>
    <w:p w:rsidR="009E2E62" w:rsidRDefault="003A1B7B">
      <w:pPr>
        <w:numPr>
          <w:ilvl w:val="0"/>
          <w:numId w:val="16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 ma prawo do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miany Regulaminu Rozgrywek w trakcie trwania sezonu, wynikającego ze zmiany przepisów wprowadzonych przez PZPS. Zmiany te ukażą się w formie komunikatu-aneksu do Regulaminu Rozgrywek.</w:t>
      </w:r>
    </w:p>
    <w:p w:rsidR="009E2E62" w:rsidRDefault="009E2E62"/>
    <w:sectPr w:rsidR="009E2E6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5F0"/>
    <w:multiLevelType w:val="multilevel"/>
    <w:tmpl w:val="028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90F27"/>
    <w:multiLevelType w:val="multilevel"/>
    <w:tmpl w:val="EE82A584"/>
    <w:lvl w:ilvl="0">
      <w:start w:val="3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964CD"/>
    <w:multiLevelType w:val="multilevel"/>
    <w:tmpl w:val="BBF6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06D8E"/>
    <w:multiLevelType w:val="multilevel"/>
    <w:tmpl w:val="4088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C135B"/>
    <w:multiLevelType w:val="multilevel"/>
    <w:tmpl w:val="9EC2FA02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116D1"/>
    <w:multiLevelType w:val="multilevel"/>
    <w:tmpl w:val="038E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95083"/>
    <w:multiLevelType w:val="multilevel"/>
    <w:tmpl w:val="F7E8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04CD1"/>
    <w:multiLevelType w:val="multilevel"/>
    <w:tmpl w:val="4874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E429A"/>
    <w:multiLevelType w:val="multilevel"/>
    <w:tmpl w:val="A5A07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AA62C6"/>
    <w:multiLevelType w:val="multilevel"/>
    <w:tmpl w:val="448C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B420F"/>
    <w:multiLevelType w:val="multilevel"/>
    <w:tmpl w:val="07BC2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B44B9"/>
    <w:multiLevelType w:val="multilevel"/>
    <w:tmpl w:val="7362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2238E"/>
    <w:multiLevelType w:val="multilevel"/>
    <w:tmpl w:val="7FE8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C6E9F"/>
    <w:multiLevelType w:val="multilevel"/>
    <w:tmpl w:val="277C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212429"/>
    <w:multiLevelType w:val="multilevel"/>
    <w:tmpl w:val="D034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46B84"/>
    <w:multiLevelType w:val="multilevel"/>
    <w:tmpl w:val="0728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222513"/>
    <w:multiLevelType w:val="multilevel"/>
    <w:tmpl w:val="1390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0"/>
  </w:num>
  <w:num w:numId="5">
    <w:abstractNumId w:val="16"/>
  </w:num>
  <w:num w:numId="6">
    <w:abstractNumId w:val="4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8"/>
  </w:num>
  <w:num w:numId="18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19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0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1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2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3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4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5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6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7">
    <w:abstractNumId w:val="16"/>
    <w:lvlOverride w:ilvl="0">
      <w:lvl w:ilvl="0">
        <w:start w:val="1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</w:num>
  <w:num w:numId="28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29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0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1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2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3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4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5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6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7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8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  <w:num w:numId="39">
    <w:abstractNumId w:val="10"/>
    <w:lvlOverride w:ilvl="0">
      <w:lvl w:ilvl="0">
        <w:start w:val="3"/>
        <w:numFmt w:val="decimal"/>
        <w:lvlText w:val="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E2E62"/>
    <w:rsid w:val="003A1B7B"/>
    <w:rsid w:val="009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56530-75DB-48CA-AC6C-0C430570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488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57D4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57D4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57D4B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57D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7D4B"/>
    <w:rPr>
      <w:b/>
      <w:bCs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F57D4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F57D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2818</Words>
  <Characters>16912</Characters>
  <Application>Microsoft Office Word</Application>
  <DocSecurity>0</DocSecurity>
  <Lines>140</Lines>
  <Paragraphs>39</Paragraphs>
  <ScaleCrop>false</ScaleCrop>
  <Company/>
  <LinksUpToDate>false</LinksUpToDate>
  <CharactersWithSpaces>19691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11</cp:revision>
  <dcterms:created xsi:type="dcterms:W3CDTF">2022-09-16T08:52:00Z</dcterms:created>
  <dcterms:modified xsi:type="dcterms:W3CDTF">2024-07-06T14:42:00Z</dcterms:modified>
  <dc:language>pl-PL</dc:language>
</cp:coreProperties>
</file>